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5B18E5EB" w:rsidR="00CE5F5F" w:rsidRDefault="000C63E6" w:rsidP="00CE5F5F">
      <w:pPr>
        <w:tabs>
          <w:tab w:val="right" w:pos="10000"/>
        </w:tabs>
        <w:spacing w:after="0"/>
        <w:rPr>
          <w:rFonts w:ascii="Arial" w:hAnsi="Arial" w:cs="Arial"/>
          <w:b/>
          <w:sz w:val="24"/>
          <w:szCs w:val="24"/>
        </w:rPr>
      </w:pPr>
      <w:bookmarkStart w:id="0" w:name="_GoBack"/>
      <w:bookmarkEnd w:id="0"/>
      <w:r>
        <w:rPr>
          <w:rFonts w:ascii="Arial" w:hAnsi="Arial" w:cs="Arial"/>
          <w:b/>
          <w:sz w:val="24"/>
          <w:szCs w:val="24"/>
        </w:rPr>
        <w:t xml:space="preserve">3GPP TSG-RAN WG1 </w:t>
      </w:r>
      <w:r w:rsidR="00D35EA2" w:rsidRPr="00F01D01">
        <w:rPr>
          <w:rFonts w:ascii="Arial" w:hAnsi="Arial" w:cs="Arial"/>
          <w:b/>
          <w:sz w:val="24"/>
          <w:szCs w:val="24"/>
        </w:rPr>
        <w:t xml:space="preserve">NR </w:t>
      </w:r>
      <w:proofErr w:type="spellStart"/>
      <w:r w:rsidR="000F7E90">
        <w:rPr>
          <w:rFonts w:ascii="Arial" w:hAnsi="Arial" w:cs="Arial"/>
          <w:b/>
          <w:sz w:val="24"/>
          <w:szCs w:val="24"/>
        </w:rPr>
        <w:t>AdHoc</w:t>
      </w:r>
      <w:proofErr w:type="spellEnd"/>
      <w:r w:rsidR="000F7E90">
        <w:rPr>
          <w:rFonts w:ascii="Arial" w:hAnsi="Arial" w:cs="Arial"/>
          <w:b/>
          <w:sz w:val="24"/>
          <w:szCs w:val="24"/>
        </w:rPr>
        <w:t xml:space="preserve"> #3</w:t>
      </w:r>
      <w:r w:rsidR="00CE5F5F">
        <w:rPr>
          <w:rFonts w:ascii="Arial" w:hAnsi="Arial" w:cs="Arial"/>
          <w:b/>
          <w:sz w:val="24"/>
          <w:szCs w:val="24"/>
        </w:rPr>
        <w:tab/>
      </w:r>
      <w:r w:rsidR="000F7E90" w:rsidRPr="000F7E90">
        <w:rPr>
          <w:rFonts w:ascii="Arial" w:hAnsi="Arial" w:cs="Arial"/>
          <w:b/>
          <w:sz w:val="24"/>
          <w:szCs w:val="24"/>
        </w:rPr>
        <w:t>R1-171643</w:t>
      </w:r>
      <w:r w:rsidR="00323FDE">
        <w:rPr>
          <w:rFonts w:ascii="Arial" w:hAnsi="Arial" w:cs="Arial"/>
          <w:b/>
          <w:sz w:val="24"/>
          <w:szCs w:val="24"/>
        </w:rPr>
        <w:t>3</w:t>
      </w:r>
    </w:p>
    <w:p w14:paraId="3E59845C" w14:textId="6D0FF36D" w:rsidR="00405FE5" w:rsidRPr="00405FE5" w:rsidRDefault="000F7E90" w:rsidP="00405FE5">
      <w:pPr>
        <w:tabs>
          <w:tab w:val="right" w:pos="10000"/>
        </w:tabs>
        <w:spacing w:after="0"/>
        <w:rPr>
          <w:rFonts w:ascii="Arial" w:hAnsi="Arial" w:cs="Arial"/>
          <w:b/>
          <w:sz w:val="24"/>
          <w:szCs w:val="24"/>
        </w:rPr>
      </w:pPr>
      <w:r>
        <w:rPr>
          <w:rFonts w:ascii="Arial" w:hAnsi="Arial" w:cs="Arial"/>
          <w:b/>
          <w:sz w:val="24"/>
          <w:szCs w:val="24"/>
        </w:rPr>
        <w:t>18</w:t>
      </w:r>
      <w:r w:rsidR="00405FE5" w:rsidRPr="00405FE5">
        <w:rPr>
          <w:rFonts w:ascii="Arial" w:hAnsi="Arial" w:cs="Arial"/>
          <w:b/>
          <w:sz w:val="24"/>
          <w:szCs w:val="24"/>
        </w:rPr>
        <w:t>t</w:t>
      </w:r>
      <w:r>
        <w:rPr>
          <w:rFonts w:ascii="Arial" w:hAnsi="Arial" w:cs="Arial"/>
          <w:b/>
          <w:sz w:val="24"/>
          <w:szCs w:val="24"/>
        </w:rPr>
        <w:t>h</w:t>
      </w:r>
      <w:r w:rsidR="00405FE5" w:rsidRPr="00405FE5">
        <w:rPr>
          <w:rFonts w:ascii="Arial" w:hAnsi="Arial" w:cs="Arial"/>
          <w:b/>
          <w:sz w:val="24"/>
          <w:szCs w:val="24"/>
        </w:rPr>
        <w:t xml:space="preserve"> – 2</w:t>
      </w:r>
      <w:r>
        <w:rPr>
          <w:rFonts w:ascii="Arial" w:hAnsi="Arial" w:cs="Arial"/>
          <w:b/>
          <w:sz w:val="24"/>
          <w:szCs w:val="24"/>
        </w:rPr>
        <w:t>1st</w:t>
      </w:r>
      <w:r w:rsidR="00405FE5" w:rsidRPr="00405FE5">
        <w:rPr>
          <w:rFonts w:ascii="Arial" w:hAnsi="Arial" w:cs="Arial"/>
          <w:b/>
          <w:sz w:val="24"/>
          <w:szCs w:val="24"/>
        </w:rPr>
        <w:t xml:space="preserve"> </w:t>
      </w:r>
      <w:r>
        <w:rPr>
          <w:rFonts w:ascii="Arial" w:hAnsi="Arial" w:cs="Arial"/>
          <w:b/>
          <w:sz w:val="24"/>
          <w:szCs w:val="24"/>
        </w:rPr>
        <w:t>September</w:t>
      </w:r>
      <w:r w:rsidR="00405FE5" w:rsidRPr="00405FE5">
        <w:rPr>
          <w:rFonts w:ascii="Arial" w:hAnsi="Arial" w:cs="Arial"/>
          <w:b/>
          <w:sz w:val="24"/>
          <w:szCs w:val="24"/>
        </w:rPr>
        <w:t xml:space="preserve"> 2017</w:t>
      </w:r>
    </w:p>
    <w:p w14:paraId="5EC9F255" w14:textId="03345A53" w:rsidR="00405FE5" w:rsidDel="00D35EA2" w:rsidRDefault="000F7E90" w:rsidP="00405FE5">
      <w:pPr>
        <w:tabs>
          <w:tab w:val="right" w:pos="10000"/>
        </w:tabs>
        <w:spacing w:after="0"/>
        <w:rPr>
          <w:rFonts w:ascii="Arial" w:hAnsi="Arial" w:cs="Arial"/>
          <w:b/>
          <w:sz w:val="24"/>
          <w:szCs w:val="24"/>
        </w:rPr>
      </w:pPr>
      <w:r>
        <w:rPr>
          <w:rFonts w:ascii="Arial" w:hAnsi="Arial" w:cs="Arial"/>
          <w:b/>
          <w:sz w:val="24"/>
          <w:szCs w:val="24"/>
        </w:rPr>
        <w:t>Nagoya, Japan</w:t>
      </w:r>
    </w:p>
    <w:p w14:paraId="2E426516" w14:textId="49698006" w:rsidR="000C63E6" w:rsidRPr="000C63E6" w:rsidRDefault="00D35EA2" w:rsidP="00463687">
      <w:pPr>
        <w:tabs>
          <w:tab w:val="right" w:pos="10000"/>
        </w:tabs>
        <w:spacing w:after="0"/>
        <w:rPr>
          <w:rFonts w:ascii="Arial" w:hAnsi="Arial" w:cs="Arial"/>
          <w:b/>
          <w:sz w:val="24"/>
          <w:szCs w:val="24"/>
        </w:rPr>
      </w:pP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240CE9F2"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405FE5" w:rsidRPr="00405FE5">
        <w:rPr>
          <w:rFonts w:ascii="Arial" w:hAnsi="Arial"/>
          <w:sz w:val="24"/>
        </w:rPr>
        <w:t>6.</w:t>
      </w:r>
      <w:r w:rsidR="000F7E90">
        <w:rPr>
          <w:rFonts w:ascii="Arial" w:hAnsi="Arial"/>
          <w:sz w:val="24"/>
        </w:rPr>
        <w:t>3.3.</w:t>
      </w:r>
      <w:r w:rsidR="00323FDE">
        <w:rPr>
          <w:rFonts w:ascii="Arial" w:hAnsi="Arial"/>
          <w:sz w:val="24"/>
        </w:rPr>
        <w:t>6</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1EC9D890"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323FDE" w:rsidRPr="00323FDE">
        <w:rPr>
          <w:rFonts w:ascii="Arial" w:hAnsi="Arial"/>
          <w:sz w:val="24"/>
        </w:rPr>
        <w:t>On slot aggregation</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2BC107D6" w:rsidR="001F2982" w:rsidRPr="00E05BD3" w:rsidRDefault="001229D6" w:rsidP="0088176C">
      <w:pPr>
        <w:pStyle w:val="Heading1"/>
        <w:rPr>
          <w:sz w:val="40"/>
          <w:lang w:val="en-US"/>
        </w:rPr>
      </w:pPr>
      <w:r>
        <w:rPr>
          <w:sz w:val="40"/>
          <w:lang w:val="en-US"/>
        </w:rPr>
        <w:t>Introduction</w:t>
      </w:r>
    </w:p>
    <w:p w14:paraId="13A60C8B" w14:textId="32AC80CA" w:rsidR="00843C43" w:rsidRPr="00843C43" w:rsidRDefault="00F34514" w:rsidP="00843C43">
      <w:r w:rsidRPr="006164DD">
        <w:t xml:space="preserve">In </w:t>
      </w:r>
      <w:r w:rsidR="0040609D" w:rsidRPr="006164DD">
        <w:t xml:space="preserve">RAN1 </w:t>
      </w:r>
      <w:r w:rsidR="005418BA" w:rsidRPr="006164DD">
        <w:t>#</w:t>
      </w:r>
      <w:r w:rsidR="00323FDE">
        <w:t>90</w:t>
      </w:r>
      <w:r w:rsidR="00D35EA2">
        <w:t xml:space="preserve"> </w:t>
      </w:r>
      <w:r w:rsidR="005418BA" w:rsidRPr="006164DD">
        <w:t>meeting</w:t>
      </w:r>
      <w:r w:rsidR="0040609D" w:rsidRPr="006164DD">
        <w:t xml:space="preserve">, </w:t>
      </w:r>
      <w:r w:rsidR="00843C43">
        <w:t>the following was agreed regarding the TBS</w:t>
      </w:r>
      <w:r w:rsidR="006B2B7B">
        <w:t xml:space="preserve"> </w:t>
      </w:r>
      <w:r w:rsidR="006B2B7B">
        <w:fldChar w:fldCharType="begin"/>
      </w:r>
      <w:r w:rsidR="006B2B7B">
        <w:instrText xml:space="preserve"> REF _Ref492904502 \r \h </w:instrText>
      </w:r>
      <w:r w:rsidR="006B2B7B">
        <w:fldChar w:fldCharType="separate"/>
      </w:r>
      <w:r w:rsidR="006B2B7B">
        <w:t>[1]</w:t>
      </w:r>
      <w:r w:rsidR="006B2B7B">
        <w:fldChar w:fldCharType="end"/>
      </w:r>
      <w:r w:rsidR="0040609D" w:rsidRPr="006164DD">
        <w:t>.</w:t>
      </w:r>
    </w:p>
    <w:p w14:paraId="5C95CE19" w14:textId="77777777" w:rsidR="00843C43" w:rsidRPr="00674445" w:rsidRDefault="00843C43" w:rsidP="00843C43">
      <w:pPr>
        <w:rPr>
          <w:rFonts w:eastAsia="Yu Mincho"/>
          <w:b/>
          <w:iCs/>
          <w:u w:val="single"/>
          <w:lang w:eastAsia="ja-JP"/>
        </w:rPr>
      </w:pPr>
      <w:r w:rsidRPr="00716650">
        <w:rPr>
          <w:rFonts w:eastAsia="Yu Mincho" w:hint="eastAsia"/>
          <w:b/>
          <w:iCs/>
          <w:highlight w:val="green"/>
          <w:u w:val="single"/>
          <w:lang w:eastAsia="ja-JP"/>
        </w:rPr>
        <w:t>Agreements</w:t>
      </w:r>
      <w:r w:rsidRPr="00716650">
        <w:rPr>
          <w:rFonts w:eastAsia="Yu Mincho"/>
          <w:b/>
          <w:iCs/>
          <w:highlight w:val="green"/>
          <w:u w:val="single"/>
          <w:lang w:eastAsia="ja-JP"/>
        </w:rPr>
        <w:t>:</w:t>
      </w:r>
    </w:p>
    <w:p w14:paraId="7A108EB0" w14:textId="77777777" w:rsidR="00843C43" w:rsidRPr="00674445" w:rsidRDefault="00843C43" w:rsidP="00843C43">
      <w:pPr>
        <w:numPr>
          <w:ilvl w:val="0"/>
          <w:numId w:val="13"/>
        </w:numPr>
        <w:overflowPunct/>
        <w:autoSpaceDE/>
        <w:autoSpaceDN/>
        <w:adjustRightInd/>
        <w:spacing w:after="0"/>
        <w:textAlignment w:val="auto"/>
        <w:rPr>
          <w:rFonts w:eastAsia="MS Mincho"/>
          <w:iCs/>
          <w:lang w:eastAsia="ja-JP"/>
        </w:rPr>
      </w:pPr>
      <w:r w:rsidRPr="00674445">
        <w:rPr>
          <w:rFonts w:eastAsia="MS Mincho"/>
          <w:iCs/>
          <w:lang w:eastAsia="ja-JP"/>
        </w:rPr>
        <w:t>Single maximum TB size is defined for the reference case, and is not exceeded.</w:t>
      </w:r>
    </w:p>
    <w:p w14:paraId="683EEE92" w14:textId="0C48D967" w:rsidR="00843C43" w:rsidRDefault="00843C43" w:rsidP="00843C43">
      <w:pPr>
        <w:numPr>
          <w:ilvl w:val="1"/>
          <w:numId w:val="13"/>
        </w:numPr>
        <w:overflowPunct/>
        <w:autoSpaceDE/>
        <w:autoSpaceDN/>
        <w:adjustRightInd/>
        <w:spacing w:after="0"/>
        <w:textAlignment w:val="auto"/>
        <w:rPr>
          <w:rFonts w:eastAsia="MS Mincho"/>
          <w:iCs/>
          <w:lang w:eastAsia="ja-JP"/>
        </w:rPr>
      </w:pPr>
      <w:r w:rsidRPr="00674445">
        <w:rPr>
          <w:rFonts w:eastAsia="MS Mincho" w:hint="eastAsia"/>
          <w:iCs/>
          <w:lang w:eastAsia="ja-JP"/>
        </w:rPr>
        <w:t xml:space="preserve">Reference case is </w:t>
      </w:r>
      <w:r w:rsidRPr="00674445">
        <w:rPr>
          <w:rFonts w:eastAsia="MS Mincho"/>
          <w:iCs/>
          <w:lang w:eastAsia="ja-JP"/>
        </w:rPr>
        <w:t xml:space="preserve">a slot with </w:t>
      </w:r>
      <w:r w:rsidRPr="00674445">
        <w:rPr>
          <w:rFonts w:eastAsia="MS Mincho" w:hint="eastAsia"/>
          <w:iCs/>
          <w:lang w:eastAsia="ja-JP"/>
        </w:rPr>
        <w:t>14 symbols</w:t>
      </w:r>
      <w:r w:rsidRPr="00674445">
        <w:rPr>
          <w:rFonts w:eastAsia="MS Mincho"/>
          <w:iCs/>
          <w:lang w:eastAsia="ja-JP"/>
        </w:rPr>
        <w:t>.</w:t>
      </w:r>
    </w:p>
    <w:p w14:paraId="61C90707" w14:textId="77777777" w:rsidR="00843C43" w:rsidRPr="00674445" w:rsidRDefault="00843C43" w:rsidP="00843C43">
      <w:pPr>
        <w:overflowPunct/>
        <w:autoSpaceDE/>
        <w:autoSpaceDN/>
        <w:adjustRightInd/>
        <w:spacing w:after="0"/>
        <w:textAlignment w:val="auto"/>
        <w:rPr>
          <w:rFonts w:eastAsia="MS Mincho"/>
          <w:iCs/>
          <w:lang w:eastAsia="ja-JP"/>
        </w:rPr>
      </w:pPr>
    </w:p>
    <w:p w14:paraId="1D8A4289" w14:textId="7BAB6F32" w:rsidR="003A42D1" w:rsidRDefault="00843C43" w:rsidP="003A42D1">
      <w:pPr>
        <w:rPr>
          <w:rFonts w:eastAsia="MS Mincho"/>
          <w:iCs/>
          <w:lang w:eastAsia="ja-JP"/>
        </w:rPr>
      </w:pPr>
      <w:r>
        <w:rPr>
          <w:rFonts w:eastAsia="MS Mincho"/>
          <w:iCs/>
          <w:lang w:eastAsia="ja-JP"/>
        </w:rPr>
        <w:t>One importance implication of this agreement is in the case of slot-aggregation, the supported TBS for these cases should not be larger than the TBS supported in 14-symbol cases. However, some further detail is needed to progress on the slot aggregation definition, which is provided here.</w:t>
      </w:r>
    </w:p>
    <w:p w14:paraId="49506499" w14:textId="3A89416F" w:rsidR="00C2607B" w:rsidRDefault="00843C43" w:rsidP="00843C43">
      <w:pPr>
        <w:pStyle w:val="Heading1"/>
      </w:pPr>
      <w:r>
        <w:t>Slot aggregation for improving link budget</w:t>
      </w:r>
    </w:p>
    <w:p w14:paraId="0DDD9D51" w14:textId="77777777" w:rsidR="00E45DE2" w:rsidRDefault="00843C43" w:rsidP="00843C43">
      <w:pPr>
        <w:rPr>
          <w:lang w:val="en-GB"/>
        </w:rPr>
      </w:pPr>
      <w:r>
        <w:rPr>
          <w:lang w:val="en-GB"/>
        </w:rPr>
        <w:t>One important benefit of slot aggregation is that the link budget can be improved since more energy can be received across multiple slots for a given transport block</w:t>
      </w:r>
      <w:r w:rsidR="00E45DE2">
        <w:rPr>
          <w:lang w:val="en-GB"/>
        </w:rPr>
        <w:t xml:space="preserve">. For this to be useful, the </w:t>
      </w:r>
      <w:r>
        <w:rPr>
          <w:lang w:val="en-GB"/>
        </w:rPr>
        <w:t xml:space="preserve">transport block sizes </w:t>
      </w:r>
      <w:r w:rsidR="00E45DE2">
        <w:rPr>
          <w:lang w:val="en-GB"/>
        </w:rPr>
        <w:t xml:space="preserve">in these cases should not exceed those of the </w:t>
      </w:r>
      <w:r>
        <w:rPr>
          <w:lang w:val="en-GB"/>
        </w:rPr>
        <w:t xml:space="preserve">14-symbol slot case. </w:t>
      </w:r>
    </w:p>
    <w:p w14:paraId="72E87CE8" w14:textId="68E32D04" w:rsidR="00843C43" w:rsidRDefault="00E45DE2" w:rsidP="00843C43">
      <w:pPr>
        <w:rPr>
          <w:lang w:val="en-GB"/>
        </w:rPr>
      </w:pPr>
      <w:r>
        <w:rPr>
          <w:lang w:val="en-GB"/>
        </w:rPr>
        <w:t xml:space="preserve">The alternative, where </w:t>
      </w:r>
      <w:r w:rsidR="00843C43">
        <w:rPr>
          <w:lang w:val="en-GB"/>
        </w:rPr>
        <w:t xml:space="preserve">the data rate with slot aggregation is the same as </w:t>
      </w:r>
      <w:r>
        <w:rPr>
          <w:lang w:val="en-GB"/>
        </w:rPr>
        <w:t>the</w:t>
      </w:r>
      <w:r w:rsidR="00843C43">
        <w:rPr>
          <w:lang w:val="en-GB"/>
        </w:rPr>
        <w:t xml:space="preserve"> peak rate, </w:t>
      </w:r>
      <w:r>
        <w:rPr>
          <w:lang w:val="en-GB"/>
        </w:rPr>
        <w:t>can have</w:t>
      </w:r>
      <w:r w:rsidR="00843C43">
        <w:rPr>
          <w:lang w:val="en-GB"/>
        </w:rPr>
        <w:t xml:space="preserve"> complication</w:t>
      </w:r>
      <w:r>
        <w:rPr>
          <w:lang w:val="en-GB"/>
        </w:rPr>
        <w:t>s since TB sizes now scale up with the number of slots which can be aggregated. These</w:t>
      </w:r>
      <w:r w:rsidR="00843C43">
        <w:rPr>
          <w:lang w:val="en-GB"/>
        </w:rPr>
        <w:t xml:space="preserve"> larger TB sizes across the same number of HARQ processes </w:t>
      </w:r>
      <w:r>
        <w:rPr>
          <w:lang w:val="en-GB"/>
        </w:rPr>
        <w:t>provide</w:t>
      </w:r>
      <w:r w:rsidR="00843C43">
        <w:rPr>
          <w:lang w:val="en-GB"/>
        </w:rPr>
        <w:t xml:space="preserve"> no appreciable benefit</w:t>
      </w:r>
      <w:r>
        <w:rPr>
          <w:lang w:val="en-GB"/>
        </w:rPr>
        <w:t>, other than allowing for less ACK bits, although this use case is unclear since peak rate implies that the feedback link also supports a high data or control rate.</w:t>
      </w:r>
      <w:r w:rsidR="00843C43">
        <w:rPr>
          <w:lang w:val="en-GB"/>
        </w:rPr>
        <w:t xml:space="preserve"> </w:t>
      </w:r>
      <w:r>
        <w:rPr>
          <w:lang w:val="en-GB"/>
        </w:rPr>
        <w:t>One drawback of this, is that</w:t>
      </w:r>
      <w:r w:rsidR="00843C43">
        <w:rPr>
          <w:lang w:val="en-GB"/>
        </w:rPr>
        <w:t xml:space="preserve"> </w:t>
      </w:r>
      <w:r>
        <w:rPr>
          <w:lang w:val="en-GB"/>
        </w:rPr>
        <w:t xml:space="preserve">since </w:t>
      </w:r>
      <w:r w:rsidR="00843C43">
        <w:rPr>
          <w:lang w:val="en-GB"/>
        </w:rPr>
        <w:t>a single acknowledgement is only available for an even larger TB, more data is subject to loss from burst interference. Additionally, for a given</w:t>
      </w:r>
      <w:r w:rsidR="00AE7D7A">
        <w:rPr>
          <w:lang w:val="en-GB"/>
        </w:rPr>
        <w:t xml:space="preserve"> number of reference HARQ processes, this form of slot aggregation leads to a larger soft buffer requirement </w:t>
      </w:r>
      <w:r>
        <w:rPr>
          <w:lang w:val="en-GB"/>
        </w:rPr>
        <w:fldChar w:fldCharType="begin"/>
      </w:r>
      <w:r>
        <w:rPr>
          <w:lang w:val="en-GB"/>
        </w:rPr>
        <w:instrText xml:space="preserve"> REF _Ref492923293 \r \h </w:instrText>
      </w:r>
      <w:r>
        <w:rPr>
          <w:lang w:val="en-GB"/>
        </w:rPr>
      </w:r>
      <w:r>
        <w:rPr>
          <w:lang w:val="en-GB"/>
        </w:rPr>
        <w:fldChar w:fldCharType="separate"/>
      </w:r>
      <w:r>
        <w:rPr>
          <w:lang w:val="en-GB"/>
        </w:rPr>
        <w:t>[2]</w:t>
      </w:r>
      <w:r>
        <w:rPr>
          <w:lang w:val="en-GB"/>
        </w:rPr>
        <w:fldChar w:fldCharType="end"/>
      </w:r>
      <w:r w:rsidR="00AE7D7A">
        <w:rPr>
          <w:lang w:val="en-GB"/>
        </w:rPr>
        <w:t>.</w:t>
      </w:r>
    </w:p>
    <w:p w14:paraId="6E42F4AD" w14:textId="7112B7E6" w:rsidR="00075261" w:rsidRPr="00843C43" w:rsidRDefault="00075261" w:rsidP="00843C43">
      <w:pPr>
        <w:rPr>
          <w:lang w:val="en-GB"/>
        </w:rPr>
      </w:pPr>
      <w:r w:rsidRPr="0041251F">
        <w:rPr>
          <w:b/>
          <w:u w:val="single"/>
          <w:lang w:val="en-GB"/>
        </w:rPr>
        <w:t>Proposal 1:</w:t>
      </w:r>
      <w:r>
        <w:rPr>
          <w:lang w:val="en-GB"/>
        </w:rPr>
        <w:t xml:space="preserve"> For slot-based scheduling with slot aggregation</w:t>
      </w:r>
      <w:r w:rsidR="00506A2D">
        <w:rPr>
          <w:lang w:val="en-GB"/>
        </w:rPr>
        <w:t xml:space="preserve"> for a given UE downlink (and resp. uplink)</w:t>
      </w:r>
      <w:r>
        <w:rPr>
          <w:lang w:val="en-GB"/>
        </w:rPr>
        <w:t xml:space="preserve">, the maximum TB size should </w:t>
      </w:r>
      <w:r w:rsidR="00506A2D">
        <w:rPr>
          <w:lang w:val="en-GB"/>
        </w:rPr>
        <w:t xml:space="preserve">not exceed that of the single slot case for the same UE downlink (and resp. uplink). </w:t>
      </w:r>
    </w:p>
    <w:p w14:paraId="534335B3" w14:textId="33C9A768" w:rsidR="00843C43" w:rsidRDefault="007631FB" w:rsidP="0041251F">
      <w:pPr>
        <w:pStyle w:val="Heading2"/>
      </w:pPr>
      <w:r>
        <w:t>Implementation aspects</w:t>
      </w:r>
    </w:p>
    <w:p w14:paraId="7322A4F5" w14:textId="77777777" w:rsidR="0041251F" w:rsidRDefault="0041251F" w:rsidP="0041251F">
      <w:pPr>
        <w:rPr>
          <w:lang w:val="en-GB"/>
        </w:rPr>
      </w:pPr>
      <w:r>
        <w:rPr>
          <w:lang w:val="en-GB"/>
        </w:rPr>
        <w:t>In the case of slot-based scheduling with IR HARQ, there is always one TB sent per slot. When there are retransmissions, then multiples slots have the same TB with redundancy versions, and the decoder recovers the TB by combining the RVs across the slots. By supporting IR HARQ, this allows the TB to be sent across multiple slots at a lower effective code rate.</w:t>
      </w:r>
    </w:p>
    <w:p w14:paraId="5A280663" w14:textId="3B91EDE2" w:rsidR="0041251F" w:rsidRPr="0041251F" w:rsidRDefault="0041251F" w:rsidP="0041251F">
      <w:pPr>
        <w:rPr>
          <w:lang w:val="en-GB"/>
        </w:rPr>
      </w:pPr>
      <w:r>
        <w:rPr>
          <w:lang w:val="en-GB"/>
        </w:rPr>
        <w:t xml:space="preserve">From an implementation standpoint, it is quite beneficial to re-use this framework to improve link budget with slot aggregation. In such a case, a set of slots would be aggregated by having RVs cycled through the slots for the same TB, without need for NAK to trigger the different RV transmissions. Moreover, the limited buffer rate matching (LBRM) framework can be readily used without concern for complicated the implementation beyond single slot-based scheduling. </w:t>
      </w:r>
      <w:r w:rsidR="00F763ED">
        <w:rPr>
          <w:lang w:val="en-GB"/>
        </w:rPr>
        <w:t>Further d</w:t>
      </w:r>
      <w:r>
        <w:rPr>
          <w:lang w:val="en-GB"/>
        </w:rPr>
        <w:t xml:space="preserve">etails on LBRM can be found in </w:t>
      </w:r>
      <w:r>
        <w:rPr>
          <w:lang w:val="en-GB"/>
        </w:rPr>
        <w:fldChar w:fldCharType="begin"/>
      </w:r>
      <w:r>
        <w:rPr>
          <w:lang w:val="en-GB"/>
        </w:rPr>
        <w:instrText xml:space="preserve"> REF _Ref492923293 \r \h </w:instrText>
      </w:r>
      <w:r>
        <w:rPr>
          <w:lang w:val="en-GB"/>
        </w:rPr>
      </w:r>
      <w:r>
        <w:rPr>
          <w:lang w:val="en-GB"/>
        </w:rPr>
        <w:fldChar w:fldCharType="separate"/>
      </w:r>
      <w:r>
        <w:rPr>
          <w:lang w:val="en-GB"/>
        </w:rPr>
        <w:t>[2]</w:t>
      </w:r>
      <w:r>
        <w:rPr>
          <w:lang w:val="en-GB"/>
        </w:rPr>
        <w:fldChar w:fldCharType="end"/>
      </w:r>
      <w:r>
        <w:rPr>
          <w:lang w:val="en-GB"/>
        </w:rPr>
        <w:t xml:space="preserve">. </w:t>
      </w:r>
    </w:p>
    <w:p w14:paraId="75F6F08E" w14:textId="13D9A02D" w:rsidR="007631FB" w:rsidRDefault="007631FB" w:rsidP="00EA317A">
      <w:pPr>
        <w:pStyle w:val="Heading2"/>
      </w:pPr>
      <w:r>
        <w:lastRenderedPageBreak/>
        <w:t>Performance aspects</w:t>
      </w:r>
    </w:p>
    <w:p w14:paraId="585ADD98" w14:textId="1C390EB4" w:rsidR="00A063C3" w:rsidRDefault="00EA317A" w:rsidP="00EA317A">
      <w:pPr>
        <w:rPr>
          <w:lang w:val="en-GB"/>
        </w:rPr>
      </w:pPr>
      <w:r>
        <w:rPr>
          <w:lang w:val="en-GB"/>
        </w:rPr>
        <w:t>To validate the performance,</w:t>
      </w:r>
      <w:r w:rsidR="00A104A7">
        <w:rPr>
          <w:lang w:val="en-GB"/>
        </w:rPr>
        <w:t xml:space="preserve"> we can compare the </w:t>
      </w:r>
      <w:r w:rsidR="00A063C3">
        <w:rPr>
          <w:lang w:val="en-GB"/>
        </w:rPr>
        <w:t xml:space="preserve">results of combining RVs generated from the circular buffer versus the case where a single RV is used to code across the aggregated slots. This is shown in the figure below. Here we see that for point provided, there is good overlap in performance. Note that all RVs (and combined sets of RVs) are subject to repetition when achieving nominal code rates below 1/3, since the LDPC </w:t>
      </w:r>
      <w:proofErr w:type="spellStart"/>
      <w:r w:rsidR="00A063C3">
        <w:rPr>
          <w:lang w:val="en-GB"/>
        </w:rPr>
        <w:t>basegraph</w:t>
      </w:r>
      <w:proofErr w:type="spellEnd"/>
      <w:r w:rsidR="00A063C3">
        <w:rPr>
          <w:lang w:val="en-GB"/>
        </w:rPr>
        <w:t xml:space="preserve"> used in this simulation was </w:t>
      </w:r>
      <w:proofErr w:type="spellStart"/>
      <w:r w:rsidR="00A063C3">
        <w:rPr>
          <w:lang w:val="en-GB"/>
        </w:rPr>
        <w:t>basegraph</w:t>
      </w:r>
      <w:proofErr w:type="spellEnd"/>
      <w:r w:rsidR="00A063C3">
        <w:rPr>
          <w:lang w:val="en-GB"/>
        </w:rPr>
        <w:t xml:space="preserve"> 1 with a minimum effective code rate of 1/3. For </w:t>
      </w:r>
      <w:proofErr w:type="spellStart"/>
      <w:r w:rsidR="00A063C3">
        <w:rPr>
          <w:lang w:val="en-GB"/>
        </w:rPr>
        <w:t>basegraph</w:t>
      </w:r>
      <w:proofErr w:type="spellEnd"/>
      <w:r w:rsidR="00A063C3">
        <w:rPr>
          <w:lang w:val="en-GB"/>
        </w:rPr>
        <w:t xml:space="preserve"> 2, the joint in the performance curves around R=1/3 can be reduced further since code rates of 1/5 are supported.</w:t>
      </w:r>
    </w:p>
    <w:p w14:paraId="1EE2A11C" w14:textId="1F4B1687" w:rsidR="00EA317A" w:rsidRPr="00EA317A" w:rsidRDefault="00A063C3" w:rsidP="00A063C3">
      <w:pPr>
        <w:jc w:val="center"/>
        <w:rPr>
          <w:lang w:val="en-GB"/>
        </w:rPr>
      </w:pPr>
      <w:r>
        <w:rPr>
          <w:noProof/>
        </w:rPr>
        <w:drawing>
          <wp:inline distT="0" distB="0" distL="0" distR="0" wp14:anchorId="6BC1A9D1" wp14:editId="73A8C9CD">
            <wp:extent cx="5010150" cy="2657811"/>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2472" cy="2664348"/>
                    </a:xfrm>
                    <a:prstGeom prst="rect">
                      <a:avLst/>
                    </a:prstGeom>
                  </pic:spPr>
                </pic:pic>
              </a:graphicData>
            </a:graphic>
          </wp:inline>
        </w:drawing>
      </w:r>
    </w:p>
    <w:p w14:paraId="0A8DC015" w14:textId="7DDC0AB6" w:rsidR="000D15AC" w:rsidRPr="001B4D76" w:rsidRDefault="00A063C3" w:rsidP="0098481D">
      <w:r w:rsidRPr="0041251F">
        <w:rPr>
          <w:b/>
          <w:u w:val="single"/>
          <w:lang w:val="en-GB"/>
        </w:rPr>
        <w:t xml:space="preserve">Proposal </w:t>
      </w:r>
      <w:r>
        <w:rPr>
          <w:b/>
          <w:u w:val="single"/>
          <w:lang w:val="en-GB"/>
        </w:rPr>
        <w:t>2</w:t>
      </w:r>
      <w:r w:rsidRPr="0041251F">
        <w:rPr>
          <w:b/>
          <w:u w:val="single"/>
          <w:lang w:val="en-GB"/>
        </w:rPr>
        <w:t>:</w:t>
      </w:r>
      <w:r>
        <w:rPr>
          <w:lang w:val="en-GB"/>
        </w:rPr>
        <w:t xml:space="preserve"> For slot-based scheduling, slot aggregation should be achieved with repetition of the TB per slot. Different redundancy versions can be employed to provide better coding gain across the aggregated slots.</w:t>
      </w:r>
    </w:p>
    <w:p w14:paraId="5BE0AC90" w14:textId="77777777" w:rsidR="00FC6D8C" w:rsidRDefault="003A38AC" w:rsidP="00AA0D9A">
      <w:pPr>
        <w:pStyle w:val="Heading1"/>
        <w:rPr>
          <w:sz w:val="40"/>
        </w:rPr>
      </w:pPr>
      <w:bookmarkStart w:id="1" w:name="_Ref378529477"/>
      <w:r w:rsidRPr="00E05BD3">
        <w:rPr>
          <w:sz w:val="40"/>
        </w:rPr>
        <w:t>C</w:t>
      </w:r>
      <w:r w:rsidR="001021DD" w:rsidRPr="00E05BD3">
        <w:rPr>
          <w:sz w:val="40"/>
        </w:rPr>
        <w:t>onclusions</w:t>
      </w:r>
    </w:p>
    <w:p w14:paraId="190643B6" w14:textId="77777777" w:rsidR="00803907" w:rsidRPr="00843C43" w:rsidRDefault="00803907" w:rsidP="00803907">
      <w:pPr>
        <w:rPr>
          <w:lang w:val="en-GB"/>
        </w:rPr>
      </w:pPr>
      <w:r w:rsidRPr="0041251F">
        <w:rPr>
          <w:b/>
          <w:u w:val="single"/>
          <w:lang w:val="en-GB"/>
        </w:rPr>
        <w:t>Proposal 1:</w:t>
      </w:r>
      <w:r>
        <w:rPr>
          <w:lang w:val="en-GB"/>
        </w:rPr>
        <w:t xml:space="preserve"> For slot-based scheduling with slot aggregation for a given UE downlink (and resp. uplink), the maximum TB size should not exceed that of the single slot case for the same UE downlink (and resp. uplink). </w:t>
      </w:r>
    </w:p>
    <w:p w14:paraId="659ECC83" w14:textId="5281DE9B" w:rsidR="0047482E" w:rsidRPr="00803907" w:rsidRDefault="00803907" w:rsidP="00B930AA">
      <w:r w:rsidRPr="0041251F">
        <w:rPr>
          <w:b/>
          <w:u w:val="single"/>
          <w:lang w:val="en-GB"/>
        </w:rPr>
        <w:t xml:space="preserve">Proposal </w:t>
      </w:r>
      <w:r>
        <w:rPr>
          <w:b/>
          <w:u w:val="single"/>
          <w:lang w:val="en-GB"/>
        </w:rPr>
        <w:t>2</w:t>
      </w:r>
      <w:r w:rsidRPr="0041251F">
        <w:rPr>
          <w:b/>
          <w:u w:val="single"/>
          <w:lang w:val="en-GB"/>
        </w:rPr>
        <w:t>:</w:t>
      </w:r>
      <w:r>
        <w:rPr>
          <w:lang w:val="en-GB"/>
        </w:rPr>
        <w:t xml:space="preserve"> For slot-based scheduling, slot aggregation should be achieved with repetition of the TB per slot. Different redundancy versions can be employed to provide better coding gain across the aggregated slots.</w:t>
      </w:r>
    </w:p>
    <w:bookmarkEnd w:id="1"/>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7CE35591" w14:textId="54CB8858" w:rsidR="00085557" w:rsidRDefault="00A47781" w:rsidP="00085557">
      <w:pPr>
        <w:numPr>
          <w:ilvl w:val="0"/>
          <w:numId w:val="2"/>
        </w:numPr>
        <w:spacing w:before="100" w:beforeAutospacing="1" w:after="100" w:afterAutospacing="1"/>
      </w:pPr>
      <w:bookmarkStart w:id="2" w:name="_Ref492904502"/>
      <w:bookmarkStart w:id="3" w:name="_Ref458800081"/>
      <w:r>
        <w:t xml:space="preserve">Chairman’s Notes, </w:t>
      </w:r>
      <w:r w:rsidR="00085557">
        <w:t>3GPP TSG RAN WG1 #</w:t>
      </w:r>
      <w:bookmarkEnd w:id="2"/>
      <w:r w:rsidR="004676A3">
        <w:t>90</w:t>
      </w:r>
    </w:p>
    <w:p w14:paraId="3C1B5DE1" w14:textId="697DE323" w:rsidR="008A3041" w:rsidRPr="006164DD" w:rsidRDefault="004676A3" w:rsidP="00803907">
      <w:pPr>
        <w:numPr>
          <w:ilvl w:val="0"/>
          <w:numId w:val="2"/>
        </w:numPr>
        <w:spacing w:before="100" w:beforeAutospacing="1" w:after="100" w:afterAutospacing="1"/>
      </w:pPr>
      <w:bookmarkStart w:id="4" w:name="_Ref492904488"/>
      <w:bookmarkStart w:id="5" w:name="_Ref492923293"/>
      <w:r w:rsidRPr="004676A3">
        <w:t>R1-1716432</w:t>
      </w:r>
      <w:r w:rsidRPr="006164DD">
        <w:t>, “</w:t>
      </w:r>
      <w:r>
        <w:t>Considerations on soft buffer management</w:t>
      </w:r>
      <w:r w:rsidRPr="006164DD">
        <w:t>”, Qualcomm Incorporated, RAN1 #</w:t>
      </w:r>
      <w:r>
        <w:t>90, Nagoya, Japan</w:t>
      </w:r>
      <w:bookmarkEnd w:id="3"/>
      <w:bookmarkEnd w:id="4"/>
      <w:bookmarkEnd w:id="5"/>
    </w:p>
    <w:sectPr w:rsidR="008A3041" w:rsidRPr="006164D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77A7C" w14:textId="77777777" w:rsidR="00BF0706" w:rsidRDefault="00BF0706">
      <w:r>
        <w:separator/>
      </w:r>
    </w:p>
  </w:endnote>
  <w:endnote w:type="continuationSeparator" w:id="0">
    <w:p w14:paraId="28672719" w14:textId="77777777" w:rsidR="00BF0706" w:rsidRDefault="00BF0706">
      <w:r>
        <w:continuationSeparator/>
      </w:r>
    </w:p>
  </w:endnote>
  <w:endnote w:type="continuationNotice" w:id="1">
    <w:p w14:paraId="5C29391A" w14:textId="77777777" w:rsidR="00BF0706" w:rsidRDefault="00BF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704B2" w:rsidRDefault="00070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704B2" w:rsidRDefault="00070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5277A72F" w:rsidR="000704B2" w:rsidRDefault="00070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1E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1E0A">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C29D7" w14:textId="77777777" w:rsidR="00BF0706" w:rsidRDefault="00BF0706">
      <w:r>
        <w:separator/>
      </w:r>
    </w:p>
  </w:footnote>
  <w:footnote w:type="continuationSeparator" w:id="0">
    <w:p w14:paraId="6A319F0A" w14:textId="77777777" w:rsidR="00BF0706" w:rsidRDefault="00BF0706">
      <w:r>
        <w:continuationSeparator/>
      </w:r>
    </w:p>
  </w:footnote>
  <w:footnote w:type="continuationNotice" w:id="1">
    <w:p w14:paraId="355CDA33" w14:textId="77777777" w:rsidR="00BF0706" w:rsidRDefault="00BF0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704B2" w:rsidRDefault="00070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31D81"/>
    <w:multiLevelType w:val="hybridMultilevel"/>
    <w:tmpl w:val="06FC4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ED74850"/>
    <w:multiLevelType w:val="hybridMultilevel"/>
    <w:tmpl w:val="0F0EE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C0D25"/>
    <w:multiLevelType w:val="hybridMultilevel"/>
    <w:tmpl w:val="CBEE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97949D4"/>
    <w:multiLevelType w:val="hybridMultilevel"/>
    <w:tmpl w:val="0D9C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8329C3"/>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BE6DD1"/>
    <w:multiLevelType w:val="hybridMultilevel"/>
    <w:tmpl w:val="89389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10"/>
  </w:num>
  <w:num w:numId="6">
    <w:abstractNumId w:val="1"/>
  </w:num>
  <w:num w:numId="7">
    <w:abstractNumId w:val="9"/>
  </w:num>
  <w:num w:numId="8">
    <w:abstractNumId w:val="2"/>
  </w:num>
  <w:num w:numId="9">
    <w:abstractNumId w:val="5"/>
  </w:num>
  <w:num w:numId="10">
    <w:abstractNumId w:val="12"/>
  </w:num>
  <w:num w:numId="11">
    <w:abstractNumId w:val="4"/>
  </w:num>
  <w:num w:numId="12">
    <w:abstractNumId w:val="11"/>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5FE6"/>
    <w:rsid w:val="000062D2"/>
    <w:rsid w:val="000063BC"/>
    <w:rsid w:val="00006780"/>
    <w:rsid w:val="00006C7A"/>
    <w:rsid w:val="00006DD7"/>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59DD"/>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61"/>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4BF"/>
    <w:rsid w:val="00081B61"/>
    <w:rsid w:val="000826FF"/>
    <w:rsid w:val="00082A49"/>
    <w:rsid w:val="00082C90"/>
    <w:rsid w:val="000832D0"/>
    <w:rsid w:val="00083322"/>
    <w:rsid w:val="000838E5"/>
    <w:rsid w:val="0008399B"/>
    <w:rsid w:val="00083ABE"/>
    <w:rsid w:val="00084255"/>
    <w:rsid w:val="0008473D"/>
    <w:rsid w:val="00085239"/>
    <w:rsid w:val="00085557"/>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D6"/>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5AC"/>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A47"/>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E90"/>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5EF8"/>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9D6"/>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4A8"/>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4A44"/>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5C29"/>
    <w:rsid w:val="001A6164"/>
    <w:rsid w:val="001A61A0"/>
    <w:rsid w:val="001A64B2"/>
    <w:rsid w:val="001A6AFE"/>
    <w:rsid w:val="001A6E27"/>
    <w:rsid w:val="001A706D"/>
    <w:rsid w:val="001A71EB"/>
    <w:rsid w:val="001A72EE"/>
    <w:rsid w:val="001A7826"/>
    <w:rsid w:val="001A79DA"/>
    <w:rsid w:val="001B00B2"/>
    <w:rsid w:val="001B0149"/>
    <w:rsid w:val="001B0251"/>
    <w:rsid w:val="001B02C0"/>
    <w:rsid w:val="001B0BF8"/>
    <w:rsid w:val="001B113B"/>
    <w:rsid w:val="001B1565"/>
    <w:rsid w:val="001B158B"/>
    <w:rsid w:val="001B2993"/>
    <w:rsid w:val="001B2C18"/>
    <w:rsid w:val="001B35C1"/>
    <w:rsid w:val="001B3754"/>
    <w:rsid w:val="001B3A10"/>
    <w:rsid w:val="001B3F9C"/>
    <w:rsid w:val="001B41E4"/>
    <w:rsid w:val="001B4371"/>
    <w:rsid w:val="001B4D76"/>
    <w:rsid w:val="001B5332"/>
    <w:rsid w:val="001B54E9"/>
    <w:rsid w:val="001B55DE"/>
    <w:rsid w:val="001B70CF"/>
    <w:rsid w:val="001B748B"/>
    <w:rsid w:val="001B7905"/>
    <w:rsid w:val="001C0085"/>
    <w:rsid w:val="001C00CD"/>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5C"/>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16"/>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31"/>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92D"/>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AED"/>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D2B"/>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424"/>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DA"/>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5CA"/>
    <w:rsid w:val="00313765"/>
    <w:rsid w:val="003137A0"/>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3FDE"/>
    <w:rsid w:val="00324089"/>
    <w:rsid w:val="0032466A"/>
    <w:rsid w:val="00324701"/>
    <w:rsid w:val="0032489D"/>
    <w:rsid w:val="003249F8"/>
    <w:rsid w:val="0032556B"/>
    <w:rsid w:val="0032568E"/>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A48"/>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39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77F06"/>
    <w:rsid w:val="00380543"/>
    <w:rsid w:val="00380602"/>
    <w:rsid w:val="00380892"/>
    <w:rsid w:val="00380BBD"/>
    <w:rsid w:val="00381B03"/>
    <w:rsid w:val="00381B66"/>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D1"/>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0B50"/>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0C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F5"/>
    <w:rsid w:val="00400D86"/>
    <w:rsid w:val="00400DEA"/>
    <w:rsid w:val="004010EF"/>
    <w:rsid w:val="004017C6"/>
    <w:rsid w:val="004021B5"/>
    <w:rsid w:val="004024AB"/>
    <w:rsid w:val="00402619"/>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5FE5"/>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51F"/>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6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676A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3A1"/>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577"/>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201"/>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441"/>
    <w:rsid w:val="004D39CA"/>
    <w:rsid w:val="004D40D5"/>
    <w:rsid w:val="004D4968"/>
    <w:rsid w:val="004D4A8A"/>
    <w:rsid w:val="004D4ABF"/>
    <w:rsid w:val="004D50CC"/>
    <w:rsid w:val="004D58D1"/>
    <w:rsid w:val="004D5F02"/>
    <w:rsid w:val="004D602D"/>
    <w:rsid w:val="004D65BA"/>
    <w:rsid w:val="004D68C0"/>
    <w:rsid w:val="004D6FDF"/>
    <w:rsid w:val="004D70E1"/>
    <w:rsid w:val="004D710C"/>
    <w:rsid w:val="004E0033"/>
    <w:rsid w:val="004E00F1"/>
    <w:rsid w:val="004E03BE"/>
    <w:rsid w:val="004E071E"/>
    <w:rsid w:val="004E0CD0"/>
    <w:rsid w:val="004E1260"/>
    <w:rsid w:val="004E1CBB"/>
    <w:rsid w:val="004E1D07"/>
    <w:rsid w:val="004E209D"/>
    <w:rsid w:val="004E21D3"/>
    <w:rsid w:val="004E241B"/>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2D"/>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14E"/>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0FFF"/>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571"/>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6A9"/>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5A5"/>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6D"/>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31"/>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2B43"/>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766"/>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0C56"/>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0A"/>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2B7B"/>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1"/>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567"/>
    <w:rsid w:val="007056ED"/>
    <w:rsid w:val="00705902"/>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7C9"/>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0837"/>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1FB"/>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BD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17"/>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07"/>
    <w:rsid w:val="0080397E"/>
    <w:rsid w:val="00803E2E"/>
    <w:rsid w:val="00803EAD"/>
    <w:rsid w:val="00803F1A"/>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2E14"/>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3C43"/>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646"/>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1FF"/>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041"/>
    <w:rsid w:val="008A36ED"/>
    <w:rsid w:val="008A3898"/>
    <w:rsid w:val="008A42D8"/>
    <w:rsid w:val="008A457F"/>
    <w:rsid w:val="008A4BD7"/>
    <w:rsid w:val="008A4DAC"/>
    <w:rsid w:val="008A4E04"/>
    <w:rsid w:val="008A53C3"/>
    <w:rsid w:val="008A59E9"/>
    <w:rsid w:val="008A5EF7"/>
    <w:rsid w:val="008A5F6D"/>
    <w:rsid w:val="008A62D3"/>
    <w:rsid w:val="008A631F"/>
    <w:rsid w:val="008A6394"/>
    <w:rsid w:val="008A668F"/>
    <w:rsid w:val="008A6CA7"/>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468"/>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4E5"/>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6FD2"/>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620"/>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946"/>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77C72"/>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AB2"/>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A00"/>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4C"/>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89"/>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3C3"/>
    <w:rsid w:val="00A0648C"/>
    <w:rsid w:val="00A068D2"/>
    <w:rsid w:val="00A06ABB"/>
    <w:rsid w:val="00A06F57"/>
    <w:rsid w:val="00A06FF5"/>
    <w:rsid w:val="00A07065"/>
    <w:rsid w:val="00A07594"/>
    <w:rsid w:val="00A07654"/>
    <w:rsid w:val="00A07656"/>
    <w:rsid w:val="00A07B16"/>
    <w:rsid w:val="00A07DA1"/>
    <w:rsid w:val="00A10230"/>
    <w:rsid w:val="00A104A7"/>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781"/>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631"/>
    <w:rsid w:val="00A71D6B"/>
    <w:rsid w:val="00A71F00"/>
    <w:rsid w:val="00A72376"/>
    <w:rsid w:val="00A726A3"/>
    <w:rsid w:val="00A726DE"/>
    <w:rsid w:val="00A72FFD"/>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E57"/>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11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8BE"/>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07FD"/>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3FA"/>
    <w:rsid w:val="00AE5C22"/>
    <w:rsid w:val="00AE5E95"/>
    <w:rsid w:val="00AE6433"/>
    <w:rsid w:val="00AE6584"/>
    <w:rsid w:val="00AE69BD"/>
    <w:rsid w:val="00AE6D12"/>
    <w:rsid w:val="00AE723D"/>
    <w:rsid w:val="00AE757E"/>
    <w:rsid w:val="00AE773B"/>
    <w:rsid w:val="00AE7751"/>
    <w:rsid w:val="00AE780C"/>
    <w:rsid w:val="00AE7992"/>
    <w:rsid w:val="00AE7D7A"/>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8D5"/>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49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6CAD"/>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587"/>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A09"/>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3E63"/>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706"/>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5E2"/>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628"/>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07B"/>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B87"/>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6B7"/>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6771"/>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BDB"/>
    <w:rsid w:val="00CC728B"/>
    <w:rsid w:val="00CC7356"/>
    <w:rsid w:val="00CC74D5"/>
    <w:rsid w:val="00CC7A6D"/>
    <w:rsid w:val="00CC7DF5"/>
    <w:rsid w:val="00CD04B6"/>
    <w:rsid w:val="00CD0740"/>
    <w:rsid w:val="00CD0768"/>
    <w:rsid w:val="00CD0B87"/>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39"/>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AF0"/>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77E07"/>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71"/>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01"/>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B43"/>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E50"/>
    <w:rsid w:val="00E43F1E"/>
    <w:rsid w:val="00E4409C"/>
    <w:rsid w:val="00E443F9"/>
    <w:rsid w:val="00E4466A"/>
    <w:rsid w:val="00E447D5"/>
    <w:rsid w:val="00E45041"/>
    <w:rsid w:val="00E450D8"/>
    <w:rsid w:val="00E4515C"/>
    <w:rsid w:val="00E452D0"/>
    <w:rsid w:val="00E45A9D"/>
    <w:rsid w:val="00E45DE2"/>
    <w:rsid w:val="00E460A1"/>
    <w:rsid w:val="00E4663F"/>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4D7"/>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094"/>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84B"/>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17A"/>
    <w:rsid w:val="00EA3590"/>
    <w:rsid w:val="00EA3641"/>
    <w:rsid w:val="00EA3D67"/>
    <w:rsid w:val="00EA3DB9"/>
    <w:rsid w:val="00EA475F"/>
    <w:rsid w:val="00EA4A36"/>
    <w:rsid w:val="00EA4C72"/>
    <w:rsid w:val="00EA5029"/>
    <w:rsid w:val="00EA5335"/>
    <w:rsid w:val="00EA630B"/>
    <w:rsid w:val="00EA6A20"/>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B21"/>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026"/>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74"/>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B2C"/>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3127"/>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63ED"/>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05"/>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077"/>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9511">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390313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459231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HR33RHYHUWRF-4-5754</_dlc_DocId>
    <_dlc_DocIdUrl xmlns="c06861ca-3f08-4d07-bff7-bb15bac121f4">
      <Url>https://projects.qualcomm.com/sites/pentari/_layouts/15/DocIdRedir.aspx?ID=HR33RHYHUWRF-4-5754</Url>
      <Description>HR33RHYHUWRF-4-5754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0161F82-8DE6-4102-8299-50FAC85DC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2386</TotalTime>
  <Pages>2</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243</cp:revision>
  <cp:lastPrinted>2017-09-11T19:05:00Z</cp:lastPrinted>
  <dcterms:created xsi:type="dcterms:W3CDTF">2017-03-24T00:10:00Z</dcterms:created>
  <dcterms:modified xsi:type="dcterms:W3CDTF">2017-09-12T05:40:00Z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7c8ffcb2-9f76-42a4-90a0-83c1e73d2434</vt:lpwstr>
  </property>
  <property fmtid="{D5CDD505-2E9C-101B-9397-08002B2CF9AE}" pid="9" name="ContentTypeId">
    <vt:lpwstr>0x010100BC29BFD66497B943AA3B102F0C7B1355</vt:lpwstr>
  </property>
  <property fmtid="{D5CDD505-2E9C-101B-9397-08002B2CF9AE}" pid="10" name="_ReviewingToolsShownOnce">
    <vt:lpwstr/>
  </property>
</Properties>
</file>